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8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Hlk8667799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XX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项目（平台）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2年度绩效自评报告</w:t>
      </w:r>
    </w:p>
    <w:p>
      <w:pPr>
        <w:overflowPunct w:val="0"/>
        <w:spacing w:line="580" w:lineRule="exact"/>
        <w:jc w:val="center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（参考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eastAsia="zh-CN"/>
        </w:rPr>
        <w:t>模板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）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</w:t>
      </w:r>
      <w:bookmarkStart w:id="1" w:name="_Hlk87624387"/>
      <w:r>
        <w:rPr>
          <w:rFonts w:hint="eastAsia" w:ascii="黑体" w:hAnsi="黑体" w:eastAsia="黑体" w:cs="黑体"/>
          <w:sz w:val="32"/>
          <w:szCs w:val="32"/>
        </w:rPr>
        <w:t>（平台）</w:t>
      </w:r>
      <w:bookmarkEnd w:id="1"/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（主要对预算、计划实施内容、组织管理等内容进行概述）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项目（平台）</w:t>
      </w:r>
      <w:r>
        <w:rPr>
          <w:rFonts w:hint="eastAsia" w:ascii="仿宋_GB2312" w:hAnsi="仿宋_GB2312" w:eastAsia="仿宋_GB2312" w:cs="仿宋_GB2312"/>
          <w:sz w:val="32"/>
          <w:szCs w:val="32"/>
        </w:rPr>
        <w:t>于20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日立项（批准建立），承担单位为X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黑体" w:eastAsia="仿宋_GB2312" w:cs="黑体"/>
          <w:sz w:val="32"/>
          <w:szCs w:val="32"/>
        </w:rPr>
        <w:t>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项目（平台）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实行理事会领导下的院长负责制，聘任X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作为专职CEO，理事会单位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家，现有共建成员单位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家，专家委员会委员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位。X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项目预算X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万元，其中，省拨资金X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万元、自筹资金X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万元。截止2022年11月30日，实际执行预算X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万元，预算执行率为X</w:t>
      </w:r>
      <w:r>
        <w:rPr>
          <w:rFonts w:ascii="仿宋_GB2312" w:hAnsi="仿宋_GB2312" w:eastAsia="仿宋_GB2312" w:cs="仿宋_GB2312"/>
          <w:sz w:val="32"/>
          <w:szCs w:val="32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overflowPunct w:val="0"/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项目（平台）以X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产业市场需求为导向，聚焦上游原材料、关键诊断设备及耗材、诊断辅助用品等制约产业发展的“卡脖子”等重大技术难题，集聚国内外高端创新要素，深化产学研协同创新，围绕产业链需求打通创新链，布局建设创新创业服务平台，高效链接人才链、资金链、政策链，打造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产业千亿集群。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项目（平台）绩效目标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color w:val="auto"/>
          <w:sz w:val="32"/>
          <w:szCs w:val="32"/>
        </w:rPr>
      </w:pPr>
      <w:r>
        <w:rPr>
          <w:rFonts w:hint="eastAsia" w:ascii="仿宋_GB2312" w:hAnsi="黑体" w:eastAsia="仿宋_GB2312" w:cs="黑体"/>
          <w:color w:val="auto"/>
          <w:sz w:val="32"/>
          <w:szCs w:val="32"/>
        </w:rPr>
        <w:t>（绩效目标总体情况及2022年度绩效目标设定）</w:t>
      </w:r>
    </w:p>
    <w:p>
      <w:pPr>
        <w:numPr>
          <w:ilvl w:val="0"/>
          <w:numId w:val="3"/>
        </w:numPr>
        <w:overflowPunct w:val="0"/>
        <w:spacing w:line="58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总体绩效目标描述</w:t>
      </w:r>
    </w:p>
    <w:p>
      <w:pPr>
        <w:overflowPunct w:val="0"/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三年建设期内，预计共同完成重大技术攻关15项以上；各成员单位共计受理及授权发明专利50项以上，申请软件著作权50项以上；承担国家和省市重大科研项目6项以上。实现落地转化重大科技成果15项以上。至少完成3个省级创新平台和5个新型研发机构布局建设工作，其中争取建成或引进1个以上国家级创新平台。至少集聚3个顶尖人才团队，引进博士、硕士及高技术人才等创新创业人次30名以上。引进和培育高新技术企业15家，培育科技型中小企业50家，帮扶高新技术企业10家。实现产值100亿元，利税10亿元。</w:t>
      </w:r>
    </w:p>
    <w:p>
      <w:pPr>
        <w:overflowPunct w:val="0"/>
        <w:spacing w:line="58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（二）2022年度绩效目标描述</w:t>
      </w:r>
    </w:p>
    <w:p>
      <w:pPr>
        <w:overflowPunct w:val="0"/>
        <w:spacing w:line="58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技术攻关：</w:t>
      </w:r>
      <w:r>
        <w:rPr>
          <w:rFonts w:hint="eastAsia" w:ascii="仿宋_GB2312" w:hAnsi="黑体" w:eastAsia="仿宋_GB2312" w:cs="黑体"/>
          <w:sz w:val="32"/>
          <w:szCs w:val="32"/>
        </w:rPr>
        <w:t>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项目（平台）完成重大技术攻关5项以上；各成员单位共计受理及授权发明专利10项以上，申请软件著作权10项以上；承担国家和省市重大科研项目1项以上。</w:t>
      </w:r>
    </w:p>
    <w:p>
      <w:pPr>
        <w:overflowPunct w:val="0"/>
        <w:spacing w:line="58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成果转化</w:t>
      </w:r>
      <w:r>
        <w:rPr>
          <w:rFonts w:hint="eastAsia" w:ascii="仿宋_GB2312" w:hAnsi="黑体" w:eastAsia="仿宋_GB2312" w:cs="黑体"/>
          <w:sz w:val="32"/>
          <w:szCs w:val="32"/>
        </w:rPr>
        <w:t>：落地转化重大科技成果5项以上。</w:t>
      </w:r>
    </w:p>
    <w:p>
      <w:pPr>
        <w:overflowPunct w:val="0"/>
        <w:spacing w:line="58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平台建设</w:t>
      </w:r>
      <w:r>
        <w:rPr>
          <w:rFonts w:hint="eastAsia" w:ascii="仿宋_GB2312" w:hAnsi="黑体" w:eastAsia="仿宋_GB2312" w:cs="黑体"/>
          <w:sz w:val="32"/>
          <w:szCs w:val="32"/>
        </w:rPr>
        <w:t>：至少完成2个省级创新平台和3个新型研发机构布局建设工作，其中争取建成或引进1个以上国家级创新平台。</w:t>
      </w:r>
    </w:p>
    <w:p>
      <w:pPr>
        <w:overflowPunct w:val="0"/>
        <w:spacing w:line="58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人才集聚</w:t>
      </w:r>
      <w:r>
        <w:rPr>
          <w:rFonts w:hint="eastAsia" w:ascii="仿宋_GB2312" w:hAnsi="黑体" w:eastAsia="仿宋_GB2312" w:cs="黑体"/>
          <w:sz w:val="32"/>
          <w:szCs w:val="32"/>
        </w:rPr>
        <w:t>：在X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领域至少集聚1个顶尖人才团队，引进博士、硕士及高技术人才等创新创业人次10名以上。</w:t>
      </w:r>
    </w:p>
    <w:p>
      <w:pPr>
        <w:overflowPunct w:val="0"/>
        <w:spacing w:line="58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企业培育</w:t>
      </w:r>
      <w:r>
        <w:rPr>
          <w:rFonts w:hint="eastAsia" w:ascii="仿宋_GB2312" w:hAnsi="黑体" w:eastAsia="仿宋_GB2312" w:cs="黑体"/>
          <w:sz w:val="32"/>
          <w:szCs w:val="32"/>
        </w:rPr>
        <w:t>：引进和培育高新技术企业5家，培育科技型中小企业10家。</w:t>
      </w:r>
    </w:p>
    <w:p>
      <w:pPr>
        <w:overflowPunct w:val="0"/>
        <w:spacing w:line="58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/>
          <w:bCs/>
          <w:sz w:val="32"/>
          <w:szCs w:val="32"/>
        </w:rPr>
        <w:t>经济效益</w:t>
      </w:r>
      <w:r>
        <w:rPr>
          <w:rFonts w:hint="eastAsia" w:ascii="仿宋_GB2312" w:hAnsi="黑体" w:eastAsia="仿宋_GB2312" w:cs="黑体"/>
          <w:sz w:val="32"/>
          <w:szCs w:val="32"/>
        </w:rPr>
        <w:t>：预计实现产值100亿元，利税10亿元。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2022年度绩效目标完成情况分析</w:t>
      </w:r>
    </w:p>
    <w:p>
      <w:pPr>
        <w:spacing w:line="580" w:lineRule="exact"/>
        <w:ind w:left="64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（一）资金投入情况分析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1.</w:t>
      </w:r>
      <w:r>
        <w:rPr>
          <w:rFonts w:hint="eastAsia" w:ascii="仿宋_GB2312" w:hAnsi="黑体" w:eastAsia="仿宋_GB2312" w:cs="黑体"/>
          <w:sz w:val="32"/>
          <w:szCs w:val="32"/>
        </w:rPr>
        <w:t>资金到位情况分析。</w:t>
      </w:r>
      <w:r>
        <w:rPr>
          <w:rFonts w:ascii="仿宋_GB2312" w:hAnsi="黑体" w:eastAsia="仿宋_GB2312" w:cs="黑体"/>
          <w:sz w:val="32"/>
          <w:szCs w:val="32"/>
        </w:rPr>
        <w:t>202</w:t>
      </w:r>
      <w:r>
        <w:rPr>
          <w:rFonts w:hint="eastAsia" w:ascii="仿宋_GB2312" w:hAnsi="黑体" w:eastAsia="仿宋_GB2312" w:cs="黑体"/>
          <w:sz w:val="32"/>
          <w:szCs w:val="32"/>
        </w:rPr>
        <w:t>2</w:t>
      </w:r>
      <w:r>
        <w:rPr>
          <w:rFonts w:ascii="仿宋_GB2312" w:hAnsi="黑体" w:eastAsia="仿宋_GB2312" w:cs="黑体"/>
          <w:sz w:val="32"/>
          <w:szCs w:val="32"/>
        </w:rPr>
        <w:t>年，共计新增投资XX</w:t>
      </w:r>
      <w:r>
        <w:rPr>
          <w:rFonts w:hint="eastAsia" w:ascii="仿宋_GB2312" w:hAnsi="黑体" w:eastAsia="仿宋_GB2312" w:cs="黑体"/>
          <w:sz w:val="32"/>
          <w:szCs w:val="32"/>
        </w:rPr>
        <w:t>X万</w:t>
      </w:r>
      <w:r>
        <w:rPr>
          <w:rFonts w:ascii="仿宋_GB2312" w:hAnsi="黑体" w:eastAsia="仿宋_GB2312" w:cs="黑体"/>
          <w:sz w:val="32"/>
          <w:szCs w:val="32"/>
        </w:rPr>
        <w:t>元，其中申请省级专项财政资金XXX万元</w:t>
      </w:r>
      <w:r>
        <w:rPr>
          <w:rFonts w:hint="eastAsia" w:ascii="仿宋_GB2312" w:hAnsi="黑体" w:eastAsia="仿宋_GB2312" w:cs="黑体"/>
          <w:sz w:val="32"/>
          <w:szCs w:val="32"/>
        </w:rPr>
        <w:t>，自筹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万元</w:t>
      </w:r>
      <w:r>
        <w:rPr>
          <w:rFonts w:ascii="仿宋_GB2312" w:hAnsi="黑体" w:eastAsia="仿宋_GB2312" w:cs="黑体"/>
          <w:sz w:val="32"/>
          <w:szCs w:val="32"/>
        </w:rPr>
        <w:t>。截至目前，省级专项财政资金</w:t>
      </w:r>
      <w:r>
        <w:rPr>
          <w:rFonts w:hint="eastAsia" w:ascii="仿宋_GB2312" w:hAnsi="黑体" w:eastAsia="仿宋_GB2312" w:cs="黑体"/>
          <w:sz w:val="32"/>
          <w:szCs w:val="32"/>
        </w:rPr>
        <w:t>到账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万元，</w:t>
      </w:r>
      <w:r>
        <w:rPr>
          <w:rFonts w:ascii="仿宋_GB2312" w:hAnsi="黑体" w:eastAsia="仿宋_GB2312" w:cs="黑体"/>
          <w:sz w:val="32"/>
          <w:szCs w:val="32"/>
        </w:rPr>
        <w:t>首批XXX</w:t>
      </w:r>
      <w:r>
        <w:rPr>
          <w:rFonts w:hint="eastAsia" w:ascii="仿宋_GB2312" w:hAnsi="黑体" w:eastAsia="仿宋_GB2312" w:cs="黑体"/>
          <w:sz w:val="32"/>
          <w:szCs w:val="32"/>
        </w:rPr>
        <w:t>万元于202</w:t>
      </w:r>
      <w:r>
        <w:rPr>
          <w:rFonts w:ascii="仿宋_GB2312" w:hAnsi="黑体" w:eastAsia="仿宋_GB2312" w:cs="黑体"/>
          <w:sz w:val="32"/>
          <w:szCs w:val="32"/>
        </w:rPr>
        <w:t>2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ascii="仿宋_GB2312" w:hAnsi="黑体" w:eastAsia="仿宋_GB2312" w:cs="黑体"/>
          <w:sz w:val="32"/>
          <w:szCs w:val="32"/>
        </w:rPr>
        <w:t>X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ascii="仿宋_GB2312" w:hAnsi="黑体" w:eastAsia="仿宋_GB2312" w:cs="黑体"/>
          <w:sz w:val="32"/>
          <w:szCs w:val="32"/>
        </w:rPr>
        <w:t>X</w:t>
      </w:r>
      <w:r>
        <w:rPr>
          <w:rFonts w:hint="eastAsia" w:ascii="仿宋_GB2312" w:hAnsi="黑体" w:eastAsia="仿宋_GB2312" w:cs="黑体"/>
          <w:sz w:val="32"/>
          <w:szCs w:val="32"/>
        </w:rPr>
        <w:t>日到账，第二批专项财政资金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万于202</w:t>
      </w:r>
      <w:r>
        <w:rPr>
          <w:rFonts w:ascii="仿宋_GB2312" w:hAnsi="黑体" w:eastAsia="仿宋_GB2312" w:cs="黑体"/>
          <w:sz w:val="32"/>
          <w:szCs w:val="32"/>
        </w:rPr>
        <w:t>2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ascii="仿宋_GB2312" w:hAnsi="黑体" w:eastAsia="仿宋_GB2312" w:cs="黑体"/>
          <w:sz w:val="32"/>
          <w:szCs w:val="32"/>
        </w:rPr>
        <w:t>X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ascii="仿宋_GB2312" w:hAnsi="黑体" w:eastAsia="仿宋_GB2312" w:cs="黑体"/>
          <w:sz w:val="32"/>
          <w:szCs w:val="32"/>
        </w:rPr>
        <w:t>X</w:t>
      </w:r>
      <w:r>
        <w:rPr>
          <w:rFonts w:hint="eastAsia" w:ascii="仿宋_GB2312" w:hAnsi="黑体" w:eastAsia="仿宋_GB2312" w:cs="黑体"/>
          <w:sz w:val="32"/>
          <w:szCs w:val="32"/>
        </w:rPr>
        <w:t>日到账；自筹资金到位X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万元，X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项目（平台）资金到位率为X</w:t>
      </w:r>
      <w:r>
        <w:rPr>
          <w:rFonts w:ascii="仿宋_GB2312" w:hAnsi="黑体" w:eastAsia="仿宋_GB2312" w:cs="黑体"/>
          <w:sz w:val="32"/>
          <w:szCs w:val="32"/>
        </w:rPr>
        <w:t>X%</w:t>
      </w:r>
      <w:r>
        <w:rPr>
          <w:rFonts w:hint="eastAsia" w:ascii="仿宋_GB2312" w:hAnsi="黑体" w:eastAsia="仿宋_GB2312" w:cs="黑体"/>
          <w:sz w:val="32"/>
          <w:szCs w:val="32"/>
        </w:rPr>
        <w:t>。剩余X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万元计划于</w:t>
      </w:r>
      <w:r>
        <w:rPr>
          <w:rFonts w:ascii="仿宋_GB2312" w:hAnsi="黑体" w:eastAsia="仿宋_GB2312" w:cs="黑体"/>
          <w:sz w:val="32"/>
          <w:szCs w:val="32"/>
        </w:rPr>
        <w:t>20XX</w:t>
      </w:r>
      <w:r>
        <w:rPr>
          <w:rFonts w:hint="eastAsia" w:ascii="仿宋_GB2312" w:hAnsi="黑体" w:eastAsia="仿宋_GB2312" w:cs="黑体"/>
          <w:sz w:val="32"/>
          <w:szCs w:val="32"/>
        </w:rPr>
        <w:t>年X</w:t>
      </w:r>
      <w:r>
        <w:rPr>
          <w:rFonts w:ascii="仿宋_GB2312" w:hAnsi="黑体" w:eastAsia="仿宋_GB2312" w:cs="黑体"/>
          <w:sz w:val="32"/>
          <w:szCs w:val="32"/>
        </w:rPr>
        <w:t>X</w:t>
      </w:r>
      <w:r>
        <w:rPr>
          <w:rFonts w:hint="eastAsia" w:ascii="仿宋_GB2312" w:hAnsi="黑体" w:eastAsia="仿宋_GB2312" w:cs="黑体"/>
          <w:sz w:val="32"/>
          <w:szCs w:val="32"/>
        </w:rPr>
        <w:t>月到位。资金到位情况好，省拨资金和自筹资金均按照计划如期到位。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2.资金执行情况分析。截止目前，第一批专项研发资金于202</w:t>
      </w:r>
      <w:r>
        <w:rPr>
          <w:rFonts w:ascii="仿宋_GB2312" w:hAnsi="黑体" w:eastAsia="仿宋_GB2312" w:cs="黑体"/>
          <w:sz w:val="32"/>
          <w:szCs w:val="32"/>
        </w:rPr>
        <w:t>2</w:t>
      </w:r>
      <w:r>
        <w:rPr>
          <w:rFonts w:hint="eastAsia" w:ascii="仿宋_GB2312" w:hAnsi="黑体" w:eastAsia="仿宋_GB2312" w:cs="黑体"/>
          <w:sz w:val="32"/>
          <w:szCs w:val="32"/>
        </w:rPr>
        <w:t>年支出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万元，用于移动式PCR工作站、荧光定量PCR仪等项目技术开发工作，第二批专项资金于2022年支出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万元，支持关键技术研发以及共建检验检测公共服务平台。此外，基础研究经费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万元，主要用于科研攻关、科技成果转移转化、研发平台建设、产业基金投资、基础建设等方面。2022年度资金执行率为X</w:t>
      </w:r>
      <w:r>
        <w:rPr>
          <w:rFonts w:ascii="仿宋_GB2312" w:hAnsi="黑体" w:eastAsia="仿宋_GB2312" w:cs="黑体"/>
          <w:sz w:val="32"/>
          <w:szCs w:val="32"/>
        </w:rPr>
        <w:t>X</w:t>
      </w:r>
      <w:r>
        <w:rPr>
          <w:rFonts w:hint="eastAsia" w:ascii="仿宋_GB2312" w:hAnsi="黑体" w:eastAsia="仿宋_GB2312" w:cs="黑体"/>
          <w:sz w:val="32"/>
          <w:szCs w:val="32"/>
        </w:rPr>
        <w:t>%，预算支出执行进度偏慢，需进一步梳理预算情况，采取有效措施提升支出进度。</w:t>
      </w:r>
    </w:p>
    <w:p>
      <w:pPr>
        <w:tabs>
          <w:tab w:val="center" w:pos="4742"/>
        </w:tabs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3</w:t>
      </w:r>
      <w:r>
        <w:rPr>
          <w:rFonts w:ascii="仿宋_GB2312" w:hAnsi="黑体" w:eastAsia="仿宋_GB2312" w:cs="黑体"/>
          <w:sz w:val="32"/>
          <w:szCs w:val="32"/>
        </w:rPr>
        <w:t>.</w:t>
      </w:r>
      <w:r>
        <w:rPr>
          <w:rFonts w:hint="eastAsia" w:ascii="仿宋_GB2312" w:hAnsi="黑体" w:eastAsia="仿宋_GB2312" w:cs="黑体"/>
          <w:sz w:val="32"/>
          <w:szCs w:val="32"/>
        </w:rPr>
        <w:t>资金管理情况分析</w:t>
      </w:r>
      <w:r>
        <w:rPr>
          <w:rFonts w:ascii="仿宋_GB2312" w:hAnsi="黑体" w:eastAsia="仿宋_GB2312" w:cs="黑体"/>
          <w:sz w:val="32"/>
          <w:szCs w:val="32"/>
        </w:rPr>
        <w:tab/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项目（平台）</w:t>
      </w:r>
      <w:r>
        <w:rPr>
          <w:rFonts w:ascii="仿宋_GB2312" w:hAnsi="黑体" w:eastAsia="仿宋_GB2312" w:cs="黑体"/>
          <w:sz w:val="32"/>
          <w:szCs w:val="32"/>
        </w:rPr>
        <w:t>资金使用规范，符合国家财经法规和财务管理以及有关专项资金管理办法的规定;资金的拨付有完整的审批程序和手续;不存在截留、挤占、挪用、虚列支出等情况。保障会计核算准确、财务资料完整。</w:t>
      </w:r>
    </w:p>
    <w:p>
      <w:pPr>
        <w:numPr>
          <w:ilvl w:val="0"/>
          <w:numId w:val="3"/>
        </w:numPr>
        <w:spacing w:line="580" w:lineRule="exact"/>
        <w:ind w:firstLine="640" w:firstLineChars="200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楷体_GB2312" w:hAnsi="黑体" w:eastAsia="楷体_GB2312" w:cs="黑体"/>
          <w:sz w:val="32"/>
          <w:szCs w:val="32"/>
        </w:rPr>
        <w:t>绩效目标完成情况分析</w:t>
      </w:r>
    </w:p>
    <w:p>
      <w:pPr>
        <w:spacing w:line="580" w:lineRule="exact"/>
        <w:ind w:left="64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1、产出情况分析</w:t>
      </w:r>
    </w:p>
    <w:p>
      <w:pPr>
        <w:spacing w:line="580" w:lineRule="exact"/>
        <w:ind w:firstLine="643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b/>
          <w:bCs/>
          <w:sz w:val="32"/>
          <w:szCs w:val="32"/>
        </w:rPr>
        <w:t>技术攻关：</w:t>
      </w:r>
      <w:r>
        <w:rPr>
          <w:rFonts w:ascii="仿宋_GB2312" w:hAnsi="黑体" w:eastAsia="仿宋_GB2312" w:cs="黑体"/>
          <w:sz w:val="32"/>
          <w:szCs w:val="32"/>
        </w:rPr>
        <w:t>完成重大技术攻关</w:t>
      </w:r>
      <w:r>
        <w:rPr>
          <w:rFonts w:hint="eastAsia" w:ascii="仿宋_GB2312" w:hAnsi="黑体" w:eastAsia="仿宋_GB2312" w:cs="黑体"/>
          <w:sz w:val="32"/>
          <w:szCs w:val="32"/>
        </w:rPr>
        <w:t>28</w:t>
      </w:r>
      <w:r>
        <w:rPr>
          <w:rFonts w:ascii="仿宋_GB2312" w:hAnsi="黑体" w:eastAsia="仿宋_GB2312" w:cs="黑体"/>
          <w:sz w:val="32"/>
          <w:szCs w:val="32"/>
        </w:rPr>
        <w:t>项；授权发明专利</w:t>
      </w:r>
      <w:r>
        <w:rPr>
          <w:rFonts w:hint="eastAsia" w:ascii="仿宋_GB2312" w:hAnsi="黑体" w:eastAsia="仿宋_GB2312" w:cs="黑体"/>
          <w:sz w:val="32"/>
          <w:szCs w:val="32"/>
        </w:rPr>
        <w:t>42</w:t>
      </w:r>
      <w:r>
        <w:rPr>
          <w:rFonts w:ascii="仿宋_GB2312" w:hAnsi="黑体" w:eastAsia="仿宋_GB2312" w:cs="黑体"/>
          <w:sz w:val="32"/>
          <w:szCs w:val="32"/>
        </w:rPr>
        <w:t>项，授权软件著作权</w:t>
      </w:r>
      <w:r>
        <w:rPr>
          <w:rFonts w:hint="eastAsia" w:ascii="仿宋_GB2312" w:hAnsi="黑体" w:eastAsia="仿宋_GB2312" w:cs="黑体"/>
          <w:sz w:val="32"/>
          <w:szCs w:val="32"/>
        </w:rPr>
        <w:t>314</w:t>
      </w:r>
      <w:r>
        <w:rPr>
          <w:rFonts w:ascii="仿宋_GB2312" w:hAnsi="黑体" w:eastAsia="仿宋_GB2312" w:cs="黑体"/>
          <w:sz w:val="32"/>
          <w:szCs w:val="32"/>
        </w:rPr>
        <w:t>项；承担国家</w:t>
      </w:r>
      <w:r>
        <w:rPr>
          <w:rFonts w:hint="eastAsia" w:ascii="仿宋_GB2312" w:hAnsi="黑体" w:eastAsia="仿宋_GB2312" w:cs="黑体"/>
          <w:sz w:val="32"/>
          <w:szCs w:val="32"/>
        </w:rPr>
        <w:t>科研项目8项，</w:t>
      </w:r>
      <w:r>
        <w:rPr>
          <w:rFonts w:ascii="仿宋_GB2312" w:hAnsi="黑体" w:eastAsia="仿宋_GB2312" w:cs="黑体"/>
          <w:sz w:val="32"/>
          <w:szCs w:val="32"/>
        </w:rPr>
        <w:t>省市重大科研项目</w:t>
      </w:r>
      <w:r>
        <w:rPr>
          <w:rFonts w:hint="eastAsia" w:ascii="仿宋_GB2312" w:hAnsi="黑体" w:eastAsia="仿宋_GB2312" w:cs="黑体"/>
          <w:sz w:val="32"/>
          <w:szCs w:val="32"/>
        </w:rPr>
        <w:t>9</w:t>
      </w:r>
      <w:r>
        <w:rPr>
          <w:rFonts w:ascii="仿宋_GB2312" w:hAnsi="黑体" w:eastAsia="仿宋_GB2312" w:cs="黑体"/>
          <w:sz w:val="32"/>
          <w:szCs w:val="32"/>
        </w:rPr>
        <w:t>项。</w:t>
      </w:r>
      <w:r>
        <w:rPr>
          <w:rFonts w:hint="eastAsia" w:ascii="仿宋_GB2312" w:hAnsi="黑体" w:eastAsia="仿宋_GB2312" w:cs="黑体"/>
          <w:sz w:val="32"/>
          <w:szCs w:val="32"/>
        </w:rPr>
        <w:t>均超额完成年度绩效目标值。</w:t>
      </w:r>
    </w:p>
    <w:p>
      <w:pPr>
        <w:spacing w:line="580" w:lineRule="exact"/>
        <w:ind w:firstLine="643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b/>
          <w:bCs/>
          <w:sz w:val="32"/>
          <w:szCs w:val="32"/>
        </w:rPr>
        <w:t>成果转化：</w:t>
      </w:r>
      <w:r>
        <w:rPr>
          <w:rFonts w:ascii="仿宋_GB2312" w:hAnsi="黑体" w:eastAsia="仿宋_GB2312" w:cs="黑体"/>
          <w:sz w:val="32"/>
          <w:szCs w:val="32"/>
        </w:rPr>
        <w:t>落地转化重大科技成果</w:t>
      </w:r>
      <w:r>
        <w:rPr>
          <w:rFonts w:hint="eastAsia" w:ascii="仿宋_GB2312" w:hAnsi="黑体" w:eastAsia="仿宋_GB2312" w:cs="黑体"/>
          <w:sz w:val="32"/>
          <w:szCs w:val="32"/>
        </w:rPr>
        <w:t>19</w:t>
      </w:r>
      <w:r>
        <w:rPr>
          <w:rFonts w:ascii="仿宋_GB2312" w:hAnsi="黑体" w:eastAsia="仿宋_GB2312" w:cs="黑体"/>
          <w:sz w:val="32"/>
          <w:szCs w:val="32"/>
        </w:rPr>
        <w:t>项</w:t>
      </w:r>
      <w:r>
        <w:rPr>
          <w:rFonts w:hint="eastAsia" w:ascii="仿宋_GB2312" w:hAnsi="黑体" w:eastAsia="仿宋_GB2312" w:cs="黑体"/>
          <w:sz w:val="32"/>
          <w:szCs w:val="32"/>
        </w:rPr>
        <w:t>，超额完成年度绩效目标值。</w:t>
      </w:r>
    </w:p>
    <w:p>
      <w:pPr>
        <w:spacing w:line="580" w:lineRule="exact"/>
        <w:ind w:firstLine="643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b/>
          <w:bCs/>
          <w:sz w:val="32"/>
          <w:szCs w:val="32"/>
        </w:rPr>
        <w:t>平台建设：</w:t>
      </w:r>
      <w:r>
        <w:rPr>
          <w:rFonts w:ascii="仿宋_GB2312" w:hAnsi="黑体" w:eastAsia="仿宋_GB2312" w:cs="黑体"/>
          <w:sz w:val="32"/>
          <w:szCs w:val="32"/>
        </w:rPr>
        <w:t>围绕</w:t>
      </w:r>
      <w:r>
        <w:rPr>
          <w:rFonts w:hint="eastAsia" w:ascii="仿宋_GB2312" w:hAnsi="黑体" w:eastAsia="仿宋_GB2312" w:cs="黑体"/>
          <w:sz w:val="32"/>
          <w:szCs w:val="32"/>
        </w:rPr>
        <w:t>X</w:t>
      </w:r>
      <w:r>
        <w:rPr>
          <w:rFonts w:ascii="仿宋_GB2312" w:hAnsi="黑体" w:eastAsia="仿宋_GB2312" w:cs="黑体"/>
          <w:sz w:val="32"/>
          <w:szCs w:val="32"/>
        </w:rPr>
        <w:t>XX、</w:t>
      </w:r>
      <w:r>
        <w:rPr>
          <w:rFonts w:hint="eastAsia" w:ascii="仿宋_GB2312" w:hAnsi="黑体" w:eastAsia="仿宋_GB2312" w:cs="黑体"/>
          <w:sz w:val="32"/>
          <w:szCs w:val="32"/>
        </w:rPr>
        <w:t>X</w:t>
      </w:r>
      <w:r>
        <w:rPr>
          <w:rFonts w:ascii="仿宋_GB2312" w:hAnsi="黑体" w:eastAsia="仿宋_GB2312" w:cs="黑体"/>
          <w:sz w:val="32"/>
          <w:szCs w:val="32"/>
        </w:rPr>
        <w:t>XX、</w:t>
      </w:r>
      <w:r>
        <w:rPr>
          <w:rFonts w:hint="eastAsia" w:ascii="仿宋_GB2312" w:hAnsi="黑体" w:eastAsia="仿宋_GB2312" w:cs="黑体"/>
          <w:sz w:val="32"/>
          <w:szCs w:val="32"/>
        </w:rPr>
        <w:t>X</w:t>
      </w:r>
      <w:r>
        <w:rPr>
          <w:rFonts w:ascii="仿宋_GB2312" w:hAnsi="黑体" w:eastAsia="仿宋_GB2312" w:cs="黑体"/>
          <w:sz w:val="32"/>
          <w:szCs w:val="32"/>
        </w:rPr>
        <w:t>XXX细分领域建设联合创新平台</w:t>
      </w:r>
      <w:r>
        <w:rPr>
          <w:rFonts w:hint="eastAsia" w:ascii="仿宋_GB2312" w:hAnsi="黑体" w:eastAsia="仿宋_GB2312" w:cs="黑体"/>
          <w:sz w:val="32"/>
          <w:szCs w:val="32"/>
        </w:rPr>
        <w:t>8</w:t>
      </w:r>
      <w:r>
        <w:rPr>
          <w:rFonts w:ascii="仿宋_GB2312" w:hAnsi="黑体" w:eastAsia="仿宋_GB2312" w:cs="黑体"/>
          <w:sz w:val="32"/>
          <w:szCs w:val="32"/>
        </w:rPr>
        <w:t>个</w:t>
      </w:r>
      <w:r>
        <w:rPr>
          <w:rFonts w:hint="eastAsia" w:ascii="仿宋_GB2312" w:hAnsi="黑体" w:eastAsia="仿宋_GB2312" w:cs="黑体"/>
          <w:sz w:val="32"/>
          <w:szCs w:val="32"/>
        </w:rPr>
        <w:t>,未完成争取建成或引进1个以上国家级创新平台的绩效目标。</w:t>
      </w:r>
    </w:p>
    <w:p>
      <w:pPr>
        <w:spacing w:line="580" w:lineRule="exact"/>
        <w:ind w:firstLine="643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b/>
          <w:bCs/>
          <w:sz w:val="32"/>
          <w:szCs w:val="32"/>
        </w:rPr>
        <w:t>人才集聚：</w:t>
      </w:r>
      <w:r>
        <w:rPr>
          <w:rFonts w:ascii="仿宋_GB2312" w:hAnsi="黑体" w:eastAsia="仿宋_GB2312" w:cs="黑体"/>
          <w:sz w:val="32"/>
          <w:szCs w:val="32"/>
        </w:rPr>
        <w:t>集聚</w:t>
      </w:r>
      <w:r>
        <w:rPr>
          <w:rFonts w:hint="eastAsia" w:ascii="仿宋_GB2312" w:hAnsi="黑体" w:eastAsia="仿宋_GB2312" w:cs="黑体"/>
          <w:sz w:val="32"/>
          <w:szCs w:val="32"/>
        </w:rPr>
        <w:t>2</w:t>
      </w:r>
      <w:r>
        <w:rPr>
          <w:rFonts w:ascii="仿宋_GB2312" w:hAnsi="黑体" w:eastAsia="仿宋_GB2312" w:cs="黑体"/>
          <w:sz w:val="32"/>
          <w:szCs w:val="32"/>
        </w:rPr>
        <w:t>个顶尖人才团队，引进博士、硕士及高技术人才等创新创业人次</w:t>
      </w:r>
      <w:r>
        <w:rPr>
          <w:rFonts w:hint="eastAsia" w:ascii="仿宋_GB2312" w:hAnsi="黑体" w:eastAsia="仿宋_GB2312" w:cs="黑体"/>
          <w:sz w:val="32"/>
          <w:szCs w:val="32"/>
        </w:rPr>
        <w:t>32</w:t>
      </w:r>
      <w:r>
        <w:rPr>
          <w:rFonts w:ascii="仿宋_GB2312" w:hAnsi="黑体" w:eastAsia="仿宋_GB2312" w:cs="黑体"/>
          <w:sz w:val="32"/>
          <w:szCs w:val="32"/>
        </w:rPr>
        <w:t>名</w:t>
      </w:r>
      <w:r>
        <w:rPr>
          <w:rFonts w:hint="eastAsia" w:ascii="仿宋_GB2312" w:hAnsi="黑体" w:eastAsia="仿宋_GB2312" w:cs="黑体"/>
          <w:sz w:val="32"/>
          <w:szCs w:val="32"/>
        </w:rPr>
        <w:t>,均超额完成年度绩效目标值。</w:t>
      </w:r>
    </w:p>
    <w:p>
      <w:pPr>
        <w:spacing w:line="580" w:lineRule="exact"/>
        <w:ind w:firstLine="643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ascii="仿宋_GB2312" w:hAnsi="黑体" w:eastAsia="仿宋_GB2312" w:cs="黑体"/>
          <w:b/>
          <w:bCs/>
          <w:sz w:val="32"/>
          <w:szCs w:val="32"/>
        </w:rPr>
        <w:t>企业培育：</w:t>
      </w:r>
      <w:r>
        <w:rPr>
          <w:rFonts w:ascii="仿宋_GB2312" w:hAnsi="黑体" w:eastAsia="仿宋_GB2312" w:cs="黑体"/>
          <w:sz w:val="32"/>
          <w:szCs w:val="32"/>
        </w:rPr>
        <w:t>培育高新技术企业</w:t>
      </w:r>
      <w:r>
        <w:rPr>
          <w:rFonts w:hint="eastAsia" w:ascii="仿宋_GB2312" w:hAnsi="黑体" w:eastAsia="仿宋_GB2312" w:cs="黑体"/>
          <w:sz w:val="32"/>
          <w:szCs w:val="32"/>
        </w:rPr>
        <w:t>17</w:t>
      </w:r>
      <w:r>
        <w:rPr>
          <w:rFonts w:ascii="仿宋_GB2312" w:hAnsi="黑体" w:eastAsia="仿宋_GB2312" w:cs="黑体"/>
          <w:sz w:val="32"/>
          <w:szCs w:val="32"/>
        </w:rPr>
        <w:t>家，培育科技型中小企业</w:t>
      </w:r>
      <w:r>
        <w:rPr>
          <w:rFonts w:hint="eastAsia" w:ascii="仿宋_GB2312" w:hAnsi="黑体" w:eastAsia="仿宋_GB2312" w:cs="黑体"/>
          <w:sz w:val="32"/>
          <w:szCs w:val="32"/>
        </w:rPr>
        <w:t>41</w:t>
      </w:r>
      <w:r>
        <w:rPr>
          <w:rFonts w:ascii="仿宋_GB2312" w:hAnsi="黑体" w:eastAsia="仿宋_GB2312" w:cs="黑体"/>
          <w:sz w:val="32"/>
          <w:szCs w:val="32"/>
        </w:rPr>
        <w:t>家。</w:t>
      </w:r>
      <w:r>
        <w:rPr>
          <w:rFonts w:hint="eastAsia" w:ascii="仿宋_GB2312" w:hAnsi="黑体" w:eastAsia="仿宋_GB2312" w:cs="黑体"/>
          <w:sz w:val="32"/>
          <w:szCs w:val="32"/>
        </w:rPr>
        <w:t>均超额完成年度绩效目标值。</w:t>
      </w:r>
    </w:p>
    <w:p>
      <w:pPr>
        <w:numPr>
          <w:ilvl w:val="0"/>
          <w:numId w:val="4"/>
        </w:num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效益指标完成情况分析</w:t>
      </w:r>
    </w:p>
    <w:p>
      <w:pPr>
        <w:spacing w:line="580" w:lineRule="exact"/>
        <w:ind w:firstLine="640" w:firstLineChars="200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因受</w:t>
      </w:r>
      <w:r>
        <w:rPr>
          <w:rFonts w:ascii="仿宋_GB2312" w:hAnsi="黑体" w:eastAsia="仿宋_GB2312" w:cs="黑体"/>
          <w:sz w:val="32"/>
          <w:szCs w:val="32"/>
        </w:rPr>
        <w:t>……</w:t>
      </w:r>
      <w:r>
        <w:rPr>
          <w:rFonts w:hint="eastAsia" w:ascii="仿宋_GB2312" w:hAnsi="黑体" w:eastAsia="仿宋_GB2312" w:cs="黑体"/>
          <w:sz w:val="32"/>
          <w:szCs w:val="32"/>
        </w:rPr>
        <w:t>影响，技术服务收入总额、新增利税两项指标未完成年度绩效目标，分别差目标值X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、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因受</w:t>
      </w:r>
      <w:r>
        <w:rPr>
          <w:rFonts w:ascii="仿宋_GB2312" w:hAnsi="黑体" w:eastAsia="仿宋_GB2312" w:cs="黑体"/>
          <w:sz w:val="32"/>
          <w:szCs w:val="32"/>
        </w:rPr>
        <w:t>……</w:t>
      </w:r>
      <w:r>
        <w:rPr>
          <w:rFonts w:hint="eastAsia" w:ascii="仿宋_GB2312" w:hAnsi="黑体" w:eastAsia="仿宋_GB2312" w:cs="黑体"/>
          <w:sz w:val="32"/>
          <w:szCs w:val="32"/>
        </w:rPr>
        <w:t>影响，产业研合作数量和吸收社会资金未完成绩效目标值。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（平台）</w:t>
      </w:r>
      <w:r>
        <w:rPr>
          <w:rFonts w:hint="eastAsia" w:ascii="黑体" w:hAnsi="黑体" w:eastAsia="黑体" w:cs="Times New Roman"/>
          <w:sz w:val="32"/>
          <w:szCs w:val="32"/>
        </w:rPr>
        <w:t>实施取得的突出进展和重要成效</w:t>
      </w:r>
    </w:p>
    <w:p>
      <w:pPr>
        <w:spacing w:line="580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（主要总结争取国家资源、技术研发、引进培养人才团队、科技成果转化、培育孵化科技型企业和对产业辐射带动作用等方面成效。主要成效要客观，进展和成效要详细描述，如：）</w:t>
      </w:r>
    </w:p>
    <w:p>
      <w:pPr>
        <w:spacing w:line="580" w:lineRule="exact"/>
        <w:ind w:firstLine="640" w:firstLineChars="200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楷体_GB2312" w:hAnsi="Tahoma" w:eastAsia="楷体_GB2312" w:cs="Times New Roman"/>
          <w:kern w:val="0"/>
          <w:sz w:val="32"/>
          <w:szCs w:val="32"/>
        </w:rPr>
        <w:t>发挥“产”字引领作用，加速集聚创新要素。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构建以“政”引导、“产”引领、“产学研”协同、“金服”推动、“用”检验的闭环建设模式，链接山东省产研院、中科院等高校科研院所20家，孵化链接X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XXX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上下游企业225家，集聚场地、创业服务、人才服务、技术、资金、科学家、客户等18个创新创业发展要素，形成合理高效的协同创新机制、利益共享机制、产业培育机制、人才招引机制。</w:t>
      </w:r>
    </w:p>
    <w:p>
      <w:pPr>
        <w:spacing w:line="580" w:lineRule="exact"/>
        <w:ind w:firstLine="640" w:firstLineChars="200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ascii="楷体_GB2312" w:hAnsi="Tahoma" w:eastAsia="楷体_GB2312" w:cs="Times New Roman"/>
          <w:kern w:val="0"/>
          <w:sz w:val="32"/>
          <w:szCs w:val="32"/>
        </w:rPr>
        <w:t>开展</w:t>
      </w:r>
      <w:r>
        <w:rPr>
          <w:rFonts w:hint="eastAsia" w:ascii="楷体_GB2312" w:hAnsi="Tahoma" w:eastAsia="楷体_GB2312" w:cs="Times New Roman"/>
          <w:kern w:val="0"/>
          <w:sz w:val="32"/>
          <w:szCs w:val="32"/>
        </w:rPr>
        <w:t>重大</w:t>
      </w:r>
      <w:r>
        <w:rPr>
          <w:rFonts w:ascii="楷体_GB2312" w:hAnsi="Tahoma" w:eastAsia="楷体_GB2312" w:cs="Times New Roman"/>
          <w:kern w:val="0"/>
          <w:sz w:val="32"/>
          <w:szCs w:val="32"/>
        </w:rPr>
        <w:t>技术攻关项目,</w:t>
      </w:r>
      <w:r>
        <w:rPr>
          <w:rFonts w:hint="eastAsia" w:ascii="楷体_GB2312" w:hAnsi="Tahoma" w:eastAsia="楷体_GB2312" w:cs="Times New Roman"/>
          <w:kern w:val="0"/>
          <w:sz w:val="32"/>
          <w:szCs w:val="32"/>
        </w:rPr>
        <w:t>关键核心技术加快突破</w:t>
      </w:r>
      <w:r>
        <w:rPr>
          <w:rFonts w:ascii="楷体_GB2312" w:hAnsi="Tahoma" w:eastAsia="楷体_GB2312" w:cs="Times New Roman"/>
          <w:kern w:val="0"/>
          <w:sz w:val="32"/>
          <w:szCs w:val="32"/>
        </w:rPr>
        <w:t>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开展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中央引导地方科技发展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专项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1项、省重大科技创新工程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6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项，省新旧动能转换重大工程重大课题攻关1项，省国际合作项目1项，济南市一事一议顶尖人才（创新）1项，济南市新型冠状病毒感染肺炎防控专项1项。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突破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微量液体试样精准加样技术、多通道荧光检测和荧光定量技术、突破诊断酶分泌过程的蛋白折叠压力响应瓶颈、一体化避光集成技术及独创计数暗室、抗 EpCAM 荧光素标记的单克隆抗体制备及其质量控制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等关键核心技术11项，授权发明专利16项，申请发明专利19项。</w:t>
      </w:r>
    </w:p>
    <w:p>
      <w:pPr>
        <w:spacing w:line="580" w:lineRule="exact"/>
        <w:ind w:firstLine="640" w:firstLineChars="200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ascii="楷体_GB2312" w:hAnsi="Tahoma" w:eastAsia="楷体_GB2312" w:cs="Times New Roman"/>
          <w:kern w:val="0"/>
          <w:sz w:val="32"/>
          <w:szCs w:val="32"/>
        </w:rPr>
        <w:t>多措并举促进科技成果转移转化</w:t>
      </w:r>
      <w:r>
        <w:rPr>
          <w:rFonts w:hint="eastAsia" w:ascii="楷体_GB2312" w:hAnsi="Tahoma" w:eastAsia="楷体_GB2312" w:cs="Times New Roman"/>
          <w:kern w:val="0"/>
          <w:sz w:val="32"/>
          <w:szCs w:val="32"/>
        </w:rPr>
        <w:t>，科技创新成果丰硕</w:t>
      </w:r>
      <w:r>
        <w:rPr>
          <w:rFonts w:ascii="楷体_GB2312" w:hAnsi="Tahoma" w:eastAsia="楷体_GB2312" w:cs="Times New Roman"/>
          <w:kern w:val="0"/>
          <w:sz w:val="32"/>
          <w:szCs w:val="32"/>
        </w:rPr>
        <w:t>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多次开展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成果推介会，征集优秀项目成果开展科技成果精准对接服务。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共计开展科技成果转化79项，其中重大科技成果19项，科技成果产出64项，获得新品种快速核酸检测工作站1项，获得荧光定量PCR仪、新冠抗原检测试剂盒、多参数生物传感分析仪、全自动核酸提取仪等87项新产品，其中新装置数量16项。</w:t>
      </w:r>
    </w:p>
    <w:p>
      <w:pPr>
        <w:spacing w:line="580" w:lineRule="exact"/>
        <w:ind w:firstLine="640" w:firstLineChars="200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楷体_GB2312" w:hAnsi="黑体" w:eastAsia="楷体_GB2312"/>
          <w:bCs/>
          <w:sz w:val="32"/>
          <w:szCs w:val="32"/>
        </w:rPr>
        <w:t>吸引了高层次人才的聚集</w:t>
      </w:r>
      <w:r>
        <w:rPr>
          <w:rFonts w:hint="eastAsia" w:ascii="楷体_GB2312" w:hAnsi="Tahoma" w:eastAsia="楷体_GB2312" w:cs="Times New Roman"/>
          <w:kern w:val="0"/>
          <w:sz w:val="32"/>
          <w:szCs w:val="32"/>
        </w:rPr>
        <w:t>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引进X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、X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等三位院士，引进檀国大学X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等海外高层次人才5位，引进国家优青X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、国津贴X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等国家级人才7位，引进美国俄克拉荷马大学博士后X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等创新创业人才5位。</w:t>
      </w:r>
    </w:p>
    <w:p>
      <w:pPr>
        <w:spacing w:line="580" w:lineRule="exact"/>
        <w:ind w:firstLine="640" w:firstLineChars="200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楷体_GB2312" w:hAnsi="Tahoma" w:eastAsia="楷体_GB2312" w:cs="Times New Roman"/>
          <w:kern w:val="0"/>
          <w:sz w:val="32"/>
          <w:szCs w:val="32"/>
        </w:rPr>
        <w:t>优化</w:t>
      </w:r>
      <w:r>
        <w:rPr>
          <w:rFonts w:hint="eastAsia" w:ascii="楷体_GB2312" w:hAnsi="微软雅黑" w:eastAsia="楷体_GB2312" w:cs="微软雅黑"/>
          <w:kern w:val="0"/>
          <w:sz w:val="32"/>
          <w:szCs w:val="32"/>
        </w:rPr>
        <w:t>了产业技术创新平台布局</w:t>
      </w:r>
      <w:r>
        <w:rPr>
          <w:rFonts w:hint="eastAsia" w:ascii="楷体_GB2312" w:hAnsi="Tahoma" w:eastAsia="楷体_GB2312" w:cs="Times New Roman"/>
          <w:kern w:val="0"/>
          <w:sz w:val="32"/>
          <w:szCs w:val="32"/>
        </w:rPr>
        <w:t>，新建一批创新平台</w:t>
      </w:r>
      <w:r>
        <w:rPr>
          <w:rFonts w:ascii="楷体_GB2312" w:hAnsi="Tahoma" w:eastAsia="楷体_GB2312" w:cs="Times New Roman"/>
          <w:kern w:val="0"/>
          <w:sz w:val="32"/>
          <w:szCs w:val="32"/>
        </w:rPr>
        <w:t>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建成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XXXX创新中心、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XXX创新中心、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XXX创新中心、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XXX创新中心、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XXX联合实验室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、X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XXX联合创新中心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等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创新平台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8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个，备案省级新型研发机构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3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个，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新申请省级新型研发机构3个，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建成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XX联合实验室、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X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XXX业技术研究院科技服务平台2个。</w:t>
      </w:r>
    </w:p>
    <w:p>
      <w:pPr>
        <w:spacing w:line="580" w:lineRule="exact"/>
        <w:ind w:firstLine="640" w:firstLineChars="200"/>
        <w:rPr>
          <w:rFonts w:ascii="Tahoma" w:hAnsi="Tahoma" w:eastAsia="仿宋_GB2312" w:cs="Times New Roman"/>
          <w:kern w:val="0"/>
          <w:sz w:val="32"/>
          <w:szCs w:val="22"/>
        </w:rPr>
      </w:pPr>
      <w:r>
        <w:rPr>
          <w:rFonts w:hint="eastAsia" w:ascii="楷体_GB2312" w:hAnsi="Tahoma" w:eastAsia="楷体_GB2312" w:cs="Times New Roman"/>
          <w:kern w:val="0"/>
          <w:sz w:val="32"/>
          <w:szCs w:val="32"/>
        </w:rPr>
        <w:t>强化</w:t>
      </w:r>
      <w:r>
        <w:rPr>
          <w:rFonts w:ascii="楷体_GB2312" w:hAnsi="Tahoma" w:eastAsia="楷体_GB2312" w:cs="Times New Roman"/>
          <w:kern w:val="0"/>
          <w:sz w:val="32"/>
          <w:szCs w:val="32"/>
        </w:rPr>
        <w:t>企业孵化及产业拉动</w:t>
      </w:r>
      <w:r>
        <w:rPr>
          <w:rFonts w:hint="eastAsia" w:ascii="楷体_GB2312" w:hAnsi="Tahoma" w:eastAsia="楷体_GB2312" w:cs="Times New Roman"/>
          <w:kern w:val="0"/>
          <w:sz w:val="32"/>
          <w:szCs w:val="32"/>
        </w:rPr>
        <w:t>，带动社会效益显著。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在济南历城、平阴、高新、海南等多地域规划中试及产业化基地，新增孵化29家科技型企业，培育高新技术企业17家，对接帮扶高企15家，科技部备案科技型中小企业46家，集聚产业链上下游企业数1000家，带动产业集群增加值102.78亿元，并设置14250万元产业基金赋能共同体发展，形成了产业链上下游衔接、大中小企业协同发展的创新型产业集群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重大研究进展及成效</w:t>
      </w:r>
    </w:p>
    <w:p>
      <w:pPr>
        <w:spacing w:line="580" w:lineRule="exact"/>
        <w:ind w:firstLine="640" w:firstLineChars="200"/>
        <w:rPr>
          <w:rFonts w:ascii="仿宋_GB2312" w:hAnsi="Tahoma" w:eastAsia="仿宋_GB2312" w:cs="Times New Roman"/>
          <w:kern w:val="0"/>
          <w:sz w:val="32"/>
          <w:szCs w:val="32"/>
        </w:rPr>
      </w:pP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在突破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微量液体试样精准加样技术、多通道荧光检测和荧光定量技术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等方面，取得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……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进展，突破了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……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等技术，解决了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……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等技术难题，达到了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……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水平，取得</w:t>
      </w:r>
      <w:r>
        <w:rPr>
          <w:rFonts w:ascii="仿宋_GB2312" w:hAnsi="Tahoma" w:eastAsia="仿宋_GB2312" w:cs="Times New Roman"/>
          <w:kern w:val="0"/>
          <w:sz w:val="32"/>
          <w:szCs w:val="32"/>
        </w:rPr>
        <w:t>……</w:t>
      </w:r>
      <w:r>
        <w:rPr>
          <w:rFonts w:hint="eastAsia" w:ascii="仿宋_GB2312" w:hAnsi="Tahoma" w:eastAsia="仿宋_GB2312" w:cs="Times New Roman"/>
          <w:kern w:val="0"/>
          <w:sz w:val="32"/>
          <w:szCs w:val="32"/>
        </w:rPr>
        <w:t>重要成效等。</w:t>
      </w:r>
    </w:p>
    <w:p>
      <w:pPr>
        <w:spacing w:line="580" w:lineRule="exact"/>
        <w:ind w:firstLine="640" w:firstLineChars="200"/>
        <w:rPr>
          <w:rFonts w:hint="eastAsia" w:ascii="仿宋_GB2312" w:hAnsi="Tahoma" w:eastAsia="仿宋_GB2312" w:cs="Times New Roman"/>
          <w:kern w:val="0"/>
          <w:sz w:val="32"/>
          <w:szCs w:val="32"/>
        </w:rPr>
      </w:pPr>
      <w:r>
        <w:rPr>
          <w:rFonts w:ascii="仿宋_GB2312" w:hAnsi="Tahoma" w:eastAsia="仿宋_GB2312" w:cs="Times New Roman"/>
          <w:kern w:val="0"/>
          <w:sz w:val="32"/>
          <w:szCs w:val="32"/>
        </w:rPr>
        <w:t>……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偏离绩效目标的原因和下一步改进措施</w:t>
      </w:r>
    </w:p>
    <w:bookmarkEnd w:id="0"/>
    <w:p>
      <w:pPr>
        <w:adjustRightInd w:val="0"/>
        <w:snapToGrid w:val="0"/>
        <w:spacing w:line="56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分析绩效目标和绩效指标未完成情况，主要原因有：</w:t>
      </w:r>
      <w:r>
        <w:rPr>
          <w:rFonts w:hint="eastAsia" w:ascii="仿宋_GB2312" w:hAnsi="仿宋_GB2312" w:eastAsia="仿宋_GB2312" w:cs="仿宋_GB2312"/>
          <w:sz w:val="32"/>
          <w:szCs w:val="32"/>
        </w:rPr>
        <w:t>一是</w:t>
      </w:r>
      <w:r>
        <w:rPr>
          <w:rFonts w:hint="eastAsia" w:ascii="仿宋_GB2312" w:hAnsi="黑体" w:eastAsia="仿宋_GB2312" w:cs="黑体"/>
          <w:sz w:val="32"/>
          <w:szCs w:val="32"/>
        </w:rPr>
        <w:t>核心运营机构引领作用不鲜明，资金预算执行率低。二是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制度建设执行有待进一步完善提升。理事会决策流程、会议纪要等方面有待进一步规范提升。三是产业链梳理与研发布局有待进一步联合攻关。四是X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项目（平台）发展模式与特色发展、科技管理能力等方面有待提升。五是</w:t>
      </w:r>
      <w:r>
        <w:rPr>
          <w:rFonts w:hint="eastAsia" w:ascii="仿宋_GB2312" w:hAnsi="黑体" w:eastAsia="仿宋_GB2312" w:cs="黑体"/>
          <w:sz w:val="32"/>
          <w:szCs w:val="32"/>
        </w:rPr>
        <w:t>受疫情影响，</w:t>
      </w:r>
      <w:r>
        <w:rPr>
          <w:rFonts w:hint="eastAsia" w:ascii="仿宋_GB2312" w:hAnsi="仿宋_GB2312" w:eastAsia="仿宋_GB2312" w:cs="仿宋_GB2312"/>
          <w:sz w:val="32"/>
          <w:szCs w:val="32"/>
        </w:rPr>
        <w:t>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部分行业交流活动、人才培训、行业论坛等活动受到影响。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针对存在问题，提出下一步改进措施：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一是X</w:t>
      </w:r>
      <w:r>
        <w:rPr>
          <w:rFonts w:ascii="仿宋_GB2312" w:hAnsi="黑体" w:eastAsia="仿宋_GB2312" w:cs="黑体"/>
          <w:sz w:val="32"/>
          <w:szCs w:val="32"/>
        </w:rPr>
        <w:t>XX</w:t>
      </w:r>
      <w:r>
        <w:rPr>
          <w:rFonts w:hint="eastAsia" w:ascii="仿宋_GB2312" w:hAnsi="黑体" w:eastAsia="仿宋_GB2312" w:cs="黑体"/>
          <w:sz w:val="32"/>
          <w:szCs w:val="32"/>
        </w:rPr>
        <w:t>项目（平台）围绕X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产业链上下游合理有效布局各要素，强化每一位成员身份的职责意识，同时，强化专家委员会职责，充分发挥专家智囊库作用，精准把控X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产业发展趋势及政策导向，积极开展行业高端论坛、技术交流会等专题论坛，强化专家委员会评估、决策能力。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二是在绩效目标方面，制定详细的工作计划，在技术攻关、成果转化、人才集聚、平台建设、企业孵化、培育壮大产业等方面的建设进一步深化与延伸，以高标准、高定位、高规格严格落实共同体建设指标，在“卡脖子”技术规划布局、各要素集聚协同创新、高效推动创新成果转化落地等方面持续深耕细作，在X</w:t>
      </w:r>
      <w:r>
        <w:rPr>
          <w:rFonts w:ascii="仿宋_GB2312" w:hAnsi="黑体" w:eastAsia="仿宋_GB2312" w:cs="黑体"/>
          <w:sz w:val="32"/>
          <w:szCs w:val="32"/>
        </w:rPr>
        <w:t>XXX</w:t>
      </w:r>
      <w:r>
        <w:rPr>
          <w:rFonts w:hint="eastAsia" w:ascii="仿宋_GB2312" w:hAnsi="黑体" w:eastAsia="仿宋_GB2312" w:cs="黑体"/>
          <w:sz w:val="32"/>
          <w:szCs w:val="32"/>
        </w:rPr>
        <w:t>产业发展带动上真正发挥示范引领作用。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三是在研发以及布局方面充分发挥科研机构的优势，强化联合攻关，在项目布局方面要体现X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项目（平台）的引导作用，突出共性技术布局引导和企业实际需求相结合，体现X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项目（平台）在行业技术创新的引领地位和价值。</w:t>
      </w:r>
    </w:p>
    <w:p>
      <w:pPr>
        <w:adjustRightInd w:val="0"/>
        <w:snapToGrid w:val="0"/>
        <w:spacing w:line="56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四是X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项目（平台）的建设方面，突出本身特色，在要素融合发挥作用方面，将多要素有机结合，建立适应本X</w:t>
      </w:r>
      <w:r>
        <w:rPr>
          <w:rFonts w:ascii="仿宋_GB2312" w:hAnsi="仿宋_GB2312" w:eastAsia="仿宋_GB2312" w:cs="仿宋_GB2312"/>
          <w:sz w:val="32"/>
          <w:szCs w:val="32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项目（平台）发展的特色模式。</w:t>
      </w:r>
    </w:p>
    <w:p>
      <w:pPr>
        <w:spacing w:line="580" w:lineRule="exact"/>
        <w:rPr>
          <w:rFonts w:ascii="仿宋_GB2312" w:hAnsi="黑体" w:eastAsia="仿宋_GB2312" w:cs="黑体"/>
          <w:sz w:val="32"/>
          <w:szCs w:val="32"/>
        </w:rPr>
      </w:pPr>
    </w:p>
    <w:p>
      <w:pPr>
        <w:spacing w:line="580" w:lineRule="exact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</w:t>
      </w:r>
      <w:r>
        <w:rPr>
          <w:rFonts w:hint="eastAsia" w:ascii="黑体" w:hAnsi="黑体" w:eastAsia="黑体" w:cs="黑体"/>
          <w:sz w:val="32"/>
          <w:szCs w:val="32"/>
        </w:rPr>
        <w:t>注：</w:t>
      </w:r>
      <w:r>
        <w:rPr>
          <w:rFonts w:hint="eastAsia" w:ascii="仿宋_GB2312" w:hAnsi="黑体" w:eastAsia="仿宋_GB2312" w:cs="黑体"/>
          <w:sz w:val="32"/>
          <w:szCs w:val="32"/>
        </w:rPr>
        <w:t>自评报告编写要求文字简练、重点突出、内容详实，避免过于冗长；主要进展和成效要详细阐述，进展和成效应为当年度内取得的，非2022年度取得的不得纳入成效范畴）</w:t>
      </w:r>
    </w:p>
    <w:p>
      <w:pPr>
        <w:spacing w:line="580" w:lineRule="exact"/>
        <w:ind w:firstLine="640" w:firstLineChars="200"/>
        <w:rPr>
          <w:rFonts w:ascii="仿宋_GB2312" w:hAnsi="黑体" w:eastAsia="仿宋_GB2312" w:cs="黑体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8086139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0CE67E"/>
    <w:multiLevelType w:val="singleLevel"/>
    <w:tmpl w:val="A70CE67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E4E5458"/>
    <w:multiLevelType w:val="singleLevel"/>
    <w:tmpl w:val="5E4E545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 w:ascii="黑体" w:hAnsi="黑体" w:eastAsia="黑体"/>
      </w:rPr>
    </w:lvl>
  </w:abstractNum>
  <w:abstractNum w:abstractNumId="2">
    <w:nsid w:val="5E51F040"/>
    <w:multiLevelType w:val="singleLevel"/>
    <w:tmpl w:val="5E51F040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21"/>
      <w:suff w:val="nothing"/>
      <w:lvlText w:val="%1%2　"/>
      <w:lvlJc w:val="left"/>
      <w:pPr>
        <w:ind w:left="0" w:firstLine="0"/>
      </w:pPr>
      <w:rPr>
        <w:rFonts w:hint="default" w:ascii="Times New Roman" w:hAnsi="Times New Roman" w:eastAsia="黑体" w:cs="Times New Roman"/>
        <w:b w:val="0"/>
        <w:i w:val="0"/>
        <w:sz w:val="28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3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1NzgyMThmNjBkYjJiNjI5MTA5OTZjMWUzMjQ3YTgifQ=="/>
  </w:docVars>
  <w:rsids>
    <w:rsidRoot w:val="003D3A56"/>
    <w:rsid w:val="000011DB"/>
    <w:rsid w:val="00004D1C"/>
    <w:rsid w:val="0001038E"/>
    <w:rsid w:val="000120C8"/>
    <w:rsid w:val="00013665"/>
    <w:rsid w:val="00015DEB"/>
    <w:rsid w:val="0001666C"/>
    <w:rsid w:val="000311DA"/>
    <w:rsid w:val="00035A3D"/>
    <w:rsid w:val="00037E39"/>
    <w:rsid w:val="00037F6C"/>
    <w:rsid w:val="0004548C"/>
    <w:rsid w:val="000576BF"/>
    <w:rsid w:val="00062009"/>
    <w:rsid w:val="00063A9E"/>
    <w:rsid w:val="00063CEF"/>
    <w:rsid w:val="000642F0"/>
    <w:rsid w:val="00070A0A"/>
    <w:rsid w:val="00082880"/>
    <w:rsid w:val="00084D67"/>
    <w:rsid w:val="000A0EDB"/>
    <w:rsid w:val="000A4CB0"/>
    <w:rsid w:val="000B5544"/>
    <w:rsid w:val="000C3F55"/>
    <w:rsid w:val="000D02C5"/>
    <w:rsid w:val="000D161F"/>
    <w:rsid w:val="000D1DC6"/>
    <w:rsid w:val="000E5667"/>
    <w:rsid w:val="000E58D5"/>
    <w:rsid w:val="000E5EA4"/>
    <w:rsid w:val="000F2136"/>
    <w:rsid w:val="000F348F"/>
    <w:rsid w:val="000F4849"/>
    <w:rsid w:val="000F6340"/>
    <w:rsid w:val="001033E8"/>
    <w:rsid w:val="00103D9A"/>
    <w:rsid w:val="00112F94"/>
    <w:rsid w:val="00113C95"/>
    <w:rsid w:val="00115A93"/>
    <w:rsid w:val="00116883"/>
    <w:rsid w:val="00120AF0"/>
    <w:rsid w:val="001439DE"/>
    <w:rsid w:val="00144A35"/>
    <w:rsid w:val="001472D6"/>
    <w:rsid w:val="00151B85"/>
    <w:rsid w:val="0015215A"/>
    <w:rsid w:val="001521C1"/>
    <w:rsid w:val="00153B6E"/>
    <w:rsid w:val="00170C4F"/>
    <w:rsid w:val="00172501"/>
    <w:rsid w:val="00175E9E"/>
    <w:rsid w:val="0018472E"/>
    <w:rsid w:val="001848DA"/>
    <w:rsid w:val="001851C1"/>
    <w:rsid w:val="00186E1E"/>
    <w:rsid w:val="001872A7"/>
    <w:rsid w:val="001877EC"/>
    <w:rsid w:val="00191FA0"/>
    <w:rsid w:val="001B342C"/>
    <w:rsid w:val="001B5BDF"/>
    <w:rsid w:val="001C30B3"/>
    <w:rsid w:val="001C6397"/>
    <w:rsid w:val="001D4AE3"/>
    <w:rsid w:val="001E57DB"/>
    <w:rsid w:val="001F0890"/>
    <w:rsid w:val="001F36C3"/>
    <w:rsid w:val="001F6467"/>
    <w:rsid w:val="0020305E"/>
    <w:rsid w:val="00206563"/>
    <w:rsid w:val="0021589E"/>
    <w:rsid w:val="0021663B"/>
    <w:rsid w:val="002169E5"/>
    <w:rsid w:val="00216CDB"/>
    <w:rsid w:val="00227904"/>
    <w:rsid w:val="00244471"/>
    <w:rsid w:val="00245516"/>
    <w:rsid w:val="00253B58"/>
    <w:rsid w:val="00255C44"/>
    <w:rsid w:val="00255F4E"/>
    <w:rsid w:val="0026157F"/>
    <w:rsid w:val="002678E1"/>
    <w:rsid w:val="00271374"/>
    <w:rsid w:val="002771F4"/>
    <w:rsid w:val="002830D2"/>
    <w:rsid w:val="002A028D"/>
    <w:rsid w:val="002A04F0"/>
    <w:rsid w:val="002A4440"/>
    <w:rsid w:val="002B15C9"/>
    <w:rsid w:val="002C5D98"/>
    <w:rsid w:val="002D0176"/>
    <w:rsid w:val="002D6C70"/>
    <w:rsid w:val="002E0F05"/>
    <w:rsid w:val="002E4EFC"/>
    <w:rsid w:val="002E67A7"/>
    <w:rsid w:val="00305F70"/>
    <w:rsid w:val="00307CC3"/>
    <w:rsid w:val="00316E4A"/>
    <w:rsid w:val="00323B6C"/>
    <w:rsid w:val="00324E60"/>
    <w:rsid w:val="0032787A"/>
    <w:rsid w:val="00330EC7"/>
    <w:rsid w:val="003311E1"/>
    <w:rsid w:val="00337F52"/>
    <w:rsid w:val="00337FCD"/>
    <w:rsid w:val="003412BA"/>
    <w:rsid w:val="00351922"/>
    <w:rsid w:val="0035560B"/>
    <w:rsid w:val="0035742E"/>
    <w:rsid w:val="0036330B"/>
    <w:rsid w:val="00363B3D"/>
    <w:rsid w:val="00366B2B"/>
    <w:rsid w:val="00367B9D"/>
    <w:rsid w:val="00376904"/>
    <w:rsid w:val="00376E4D"/>
    <w:rsid w:val="0038138B"/>
    <w:rsid w:val="00382C60"/>
    <w:rsid w:val="00384D9A"/>
    <w:rsid w:val="00390B57"/>
    <w:rsid w:val="003A1866"/>
    <w:rsid w:val="003A38AB"/>
    <w:rsid w:val="003A4462"/>
    <w:rsid w:val="003B090A"/>
    <w:rsid w:val="003B5841"/>
    <w:rsid w:val="003B7A71"/>
    <w:rsid w:val="003D0124"/>
    <w:rsid w:val="003D1EBC"/>
    <w:rsid w:val="003D321A"/>
    <w:rsid w:val="003D3A56"/>
    <w:rsid w:val="003D6C7B"/>
    <w:rsid w:val="003D7CCF"/>
    <w:rsid w:val="003E4E95"/>
    <w:rsid w:val="003F10F5"/>
    <w:rsid w:val="003F540D"/>
    <w:rsid w:val="003F5CE7"/>
    <w:rsid w:val="003F6463"/>
    <w:rsid w:val="003F7CEF"/>
    <w:rsid w:val="004023EC"/>
    <w:rsid w:val="00406D01"/>
    <w:rsid w:val="0041395B"/>
    <w:rsid w:val="00422236"/>
    <w:rsid w:val="00424BEC"/>
    <w:rsid w:val="00425CF2"/>
    <w:rsid w:val="00433CED"/>
    <w:rsid w:val="00433F21"/>
    <w:rsid w:val="004343FD"/>
    <w:rsid w:val="004359E6"/>
    <w:rsid w:val="00435F5E"/>
    <w:rsid w:val="00440356"/>
    <w:rsid w:val="00445AE1"/>
    <w:rsid w:val="004467A8"/>
    <w:rsid w:val="004558CE"/>
    <w:rsid w:val="00455CE3"/>
    <w:rsid w:val="00457EFC"/>
    <w:rsid w:val="0046148F"/>
    <w:rsid w:val="004630F1"/>
    <w:rsid w:val="0046654B"/>
    <w:rsid w:val="00467F78"/>
    <w:rsid w:val="00470541"/>
    <w:rsid w:val="00473BBB"/>
    <w:rsid w:val="00490373"/>
    <w:rsid w:val="004924E5"/>
    <w:rsid w:val="004A5688"/>
    <w:rsid w:val="004C0A1B"/>
    <w:rsid w:val="004C2365"/>
    <w:rsid w:val="004C2502"/>
    <w:rsid w:val="004C5FA3"/>
    <w:rsid w:val="004D226F"/>
    <w:rsid w:val="004D3782"/>
    <w:rsid w:val="004D78B8"/>
    <w:rsid w:val="004D7E97"/>
    <w:rsid w:val="004E06C8"/>
    <w:rsid w:val="004F2541"/>
    <w:rsid w:val="005010EF"/>
    <w:rsid w:val="00517D59"/>
    <w:rsid w:val="00535BEB"/>
    <w:rsid w:val="00541E78"/>
    <w:rsid w:val="00542994"/>
    <w:rsid w:val="00555851"/>
    <w:rsid w:val="005635A3"/>
    <w:rsid w:val="005637AF"/>
    <w:rsid w:val="0056394B"/>
    <w:rsid w:val="005641AA"/>
    <w:rsid w:val="00564BAE"/>
    <w:rsid w:val="005652AC"/>
    <w:rsid w:val="00565A20"/>
    <w:rsid w:val="0058707A"/>
    <w:rsid w:val="005902C6"/>
    <w:rsid w:val="00591247"/>
    <w:rsid w:val="0059632A"/>
    <w:rsid w:val="005B302A"/>
    <w:rsid w:val="005B4E62"/>
    <w:rsid w:val="005C6E03"/>
    <w:rsid w:val="005D3ACC"/>
    <w:rsid w:val="005E2485"/>
    <w:rsid w:val="005E2DD9"/>
    <w:rsid w:val="005E4636"/>
    <w:rsid w:val="005F7730"/>
    <w:rsid w:val="005F7C5B"/>
    <w:rsid w:val="0060420F"/>
    <w:rsid w:val="00610EB8"/>
    <w:rsid w:val="00621D47"/>
    <w:rsid w:val="00622B3E"/>
    <w:rsid w:val="00624A86"/>
    <w:rsid w:val="00624E70"/>
    <w:rsid w:val="00626841"/>
    <w:rsid w:val="006333DD"/>
    <w:rsid w:val="0064148F"/>
    <w:rsid w:val="006509A0"/>
    <w:rsid w:val="00654BD4"/>
    <w:rsid w:val="00662F4C"/>
    <w:rsid w:val="0066483D"/>
    <w:rsid w:val="0066534A"/>
    <w:rsid w:val="00665852"/>
    <w:rsid w:val="00671618"/>
    <w:rsid w:val="00671775"/>
    <w:rsid w:val="006753F2"/>
    <w:rsid w:val="00676E9B"/>
    <w:rsid w:val="00681450"/>
    <w:rsid w:val="006827AE"/>
    <w:rsid w:val="00685DD8"/>
    <w:rsid w:val="006863E2"/>
    <w:rsid w:val="00686DF3"/>
    <w:rsid w:val="006931FC"/>
    <w:rsid w:val="0069357F"/>
    <w:rsid w:val="00697AB6"/>
    <w:rsid w:val="006A0E7A"/>
    <w:rsid w:val="006B0D94"/>
    <w:rsid w:val="006B3824"/>
    <w:rsid w:val="006B3FA8"/>
    <w:rsid w:val="006C0B3D"/>
    <w:rsid w:val="006C17DD"/>
    <w:rsid w:val="006C73C3"/>
    <w:rsid w:val="006D054E"/>
    <w:rsid w:val="006D1916"/>
    <w:rsid w:val="006D1EFF"/>
    <w:rsid w:val="006D7A8F"/>
    <w:rsid w:val="006E0191"/>
    <w:rsid w:val="006E36D8"/>
    <w:rsid w:val="006E6744"/>
    <w:rsid w:val="006E7846"/>
    <w:rsid w:val="006F00D8"/>
    <w:rsid w:val="006F3034"/>
    <w:rsid w:val="006F4DC1"/>
    <w:rsid w:val="007064A1"/>
    <w:rsid w:val="00715FD6"/>
    <w:rsid w:val="00721607"/>
    <w:rsid w:val="0072356B"/>
    <w:rsid w:val="00726445"/>
    <w:rsid w:val="0072679D"/>
    <w:rsid w:val="00731AA2"/>
    <w:rsid w:val="00733910"/>
    <w:rsid w:val="00734056"/>
    <w:rsid w:val="007513C1"/>
    <w:rsid w:val="007517F6"/>
    <w:rsid w:val="007526B0"/>
    <w:rsid w:val="00755284"/>
    <w:rsid w:val="00757669"/>
    <w:rsid w:val="00774F48"/>
    <w:rsid w:val="007802AE"/>
    <w:rsid w:val="00781266"/>
    <w:rsid w:val="00782F0E"/>
    <w:rsid w:val="0078621E"/>
    <w:rsid w:val="007873CB"/>
    <w:rsid w:val="007876CF"/>
    <w:rsid w:val="00790F7C"/>
    <w:rsid w:val="007940EB"/>
    <w:rsid w:val="00795E58"/>
    <w:rsid w:val="0079708B"/>
    <w:rsid w:val="007A10B7"/>
    <w:rsid w:val="007A7AF0"/>
    <w:rsid w:val="007A7F18"/>
    <w:rsid w:val="007B539B"/>
    <w:rsid w:val="007C50C3"/>
    <w:rsid w:val="007D0A37"/>
    <w:rsid w:val="007D74F7"/>
    <w:rsid w:val="007E30DF"/>
    <w:rsid w:val="007E611B"/>
    <w:rsid w:val="007F65F5"/>
    <w:rsid w:val="00800FA1"/>
    <w:rsid w:val="00811D37"/>
    <w:rsid w:val="00816737"/>
    <w:rsid w:val="008202C2"/>
    <w:rsid w:val="00825EE9"/>
    <w:rsid w:val="00830C17"/>
    <w:rsid w:val="00836C9B"/>
    <w:rsid w:val="0083703D"/>
    <w:rsid w:val="00837A5A"/>
    <w:rsid w:val="00841514"/>
    <w:rsid w:val="00852B5F"/>
    <w:rsid w:val="00856283"/>
    <w:rsid w:val="00857056"/>
    <w:rsid w:val="008602C0"/>
    <w:rsid w:val="008711EA"/>
    <w:rsid w:val="00873795"/>
    <w:rsid w:val="00877A3E"/>
    <w:rsid w:val="00880294"/>
    <w:rsid w:val="00880DC4"/>
    <w:rsid w:val="00881092"/>
    <w:rsid w:val="0088172A"/>
    <w:rsid w:val="008820FE"/>
    <w:rsid w:val="00884C3C"/>
    <w:rsid w:val="008853C8"/>
    <w:rsid w:val="00887632"/>
    <w:rsid w:val="00892FC7"/>
    <w:rsid w:val="00896736"/>
    <w:rsid w:val="00897863"/>
    <w:rsid w:val="008A25B8"/>
    <w:rsid w:val="008A28A6"/>
    <w:rsid w:val="008B3F15"/>
    <w:rsid w:val="008B5482"/>
    <w:rsid w:val="008B70B6"/>
    <w:rsid w:val="008B78FB"/>
    <w:rsid w:val="008B7C41"/>
    <w:rsid w:val="008C1D49"/>
    <w:rsid w:val="008E026B"/>
    <w:rsid w:val="008E182F"/>
    <w:rsid w:val="008E61DE"/>
    <w:rsid w:val="008F0991"/>
    <w:rsid w:val="008F63AC"/>
    <w:rsid w:val="008F67E5"/>
    <w:rsid w:val="0090274E"/>
    <w:rsid w:val="00914C99"/>
    <w:rsid w:val="00933789"/>
    <w:rsid w:val="00946EE7"/>
    <w:rsid w:val="00961EDC"/>
    <w:rsid w:val="00963203"/>
    <w:rsid w:val="00970C5B"/>
    <w:rsid w:val="009738A4"/>
    <w:rsid w:val="00973F3B"/>
    <w:rsid w:val="00977DAB"/>
    <w:rsid w:val="00990A4A"/>
    <w:rsid w:val="0099426A"/>
    <w:rsid w:val="00996A93"/>
    <w:rsid w:val="00997A59"/>
    <w:rsid w:val="009A08B7"/>
    <w:rsid w:val="009A506E"/>
    <w:rsid w:val="009A7B8A"/>
    <w:rsid w:val="009B1458"/>
    <w:rsid w:val="009B14A7"/>
    <w:rsid w:val="009B1C42"/>
    <w:rsid w:val="009B491B"/>
    <w:rsid w:val="009B724A"/>
    <w:rsid w:val="009C17B3"/>
    <w:rsid w:val="009C300E"/>
    <w:rsid w:val="009D5FD7"/>
    <w:rsid w:val="009E1FE8"/>
    <w:rsid w:val="009E582E"/>
    <w:rsid w:val="009E59AE"/>
    <w:rsid w:val="009E6418"/>
    <w:rsid w:val="009F1D19"/>
    <w:rsid w:val="009F6FAF"/>
    <w:rsid w:val="009F7880"/>
    <w:rsid w:val="00A02585"/>
    <w:rsid w:val="00A10ACC"/>
    <w:rsid w:val="00A121A9"/>
    <w:rsid w:val="00A1360F"/>
    <w:rsid w:val="00A13655"/>
    <w:rsid w:val="00A14227"/>
    <w:rsid w:val="00A16B91"/>
    <w:rsid w:val="00A22497"/>
    <w:rsid w:val="00A272BB"/>
    <w:rsid w:val="00A305F9"/>
    <w:rsid w:val="00A30D58"/>
    <w:rsid w:val="00A30E5E"/>
    <w:rsid w:val="00A3136A"/>
    <w:rsid w:val="00A321E6"/>
    <w:rsid w:val="00A365B9"/>
    <w:rsid w:val="00A5240B"/>
    <w:rsid w:val="00A56740"/>
    <w:rsid w:val="00A576FB"/>
    <w:rsid w:val="00A60918"/>
    <w:rsid w:val="00A60CDE"/>
    <w:rsid w:val="00A67286"/>
    <w:rsid w:val="00A67317"/>
    <w:rsid w:val="00A81C4A"/>
    <w:rsid w:val="00A84E6C"/>
    <w:rsid w:val="00A91C5F"/>
    <w:rsid w:val="00AA0441"/>
    <w:rsid w:val="00AA3FDA"/>
    <w:rsid w:val="00AA40AF"/>
    <w:rsid w:val="00AA4AD4"/>
    <w:rsid w:val="00AB2E1D"/>
    <w:rsid w:val="00AC1166"/>
    <w:rsid w:val="00AC11FD"/>
    <w:rsid w:val="00AC122B"/>
    <w:rsid w:val="00AC4AF3"/>
    <w:rsid w:val="00AC70F5"/>
    <w:rsid w:val="00AD0066"/>
    <w:rsid w:val="00AD07C3"/>
    <w:rsid w:val="00AD3D34"/>
    <w:rsid w:val="00AE046F"/>
    <w:rsid w:val="00AE103D"/>
    <w:rsid w:val="00AE6875"/>
    <w:rsid w:val="00AF0F51"/>
    <w:rsid w:val="00AF4C9D"/>
    <w:rsid w:val="00AF518A"/>
    <w:rsid w:val="00AF7518"/>
    <w:rsid w:val="00AF7556"/>
    <w:rsid w:val="00B048C3"/>
    <w:rsid w:val="00B062CD"/>
    <w:rsid w:val="00B151C2"/>
    <w:rsid w:val="00B16F20"/>
    <w:rsid w:val="00B17237"/>
    <w:rsid w:val="00B20255"/>
    <w:rsid w:val="00B24A0A"/>
    <w:rsid w:val="00B31AEF"/>
    <w:rsid w:val="00B32EFB"/>
    <w:rsid w:val="00B3425E"/>
    <w:rsid w:val="00B442FD"/>
    <w:rsid w:val="00B47B4D"/>
    <w:rsid w:val="00B50FA6"/>
    <w:rsid w:val="00B56469"/>
    <w:rsid w:val="00B5655B"/>
    <w:rsid w:val="00B56631"/>
    <w:rsid w:val="00B605D1"/>
    <w:rsid w:val="00B60A6E"/>
    <w:rsid w:val="00B6680E"/>
    <w:rsid w:val="00B7306E"/>
    <w:rsid w:val="00B80EDE"/>
    <w:rsid w:val="00B81C20"/>
    <w:rsid w:val="00B8361C"/>
    <w:rsid w:val="00B914E4"/>
    <w:rsid w:val="00B91944"/>
    <w:rsid w:val="00B92539"/>
    <w:rsid w:val="00B97BF4"/>
    <w:rsid w:val="00BA234E"/>
    <w:rsid w:val="00BA5F77"/>
    <w:rsid w:val="00BB120A"/>
    <w:rsid w:val="00BB336A"/>
    <w:rsid w:val="00BB66DC"/>
    <w:rsid w:val="00BC2146"/>
    <w:rsid w:val="00BC68A8"/>
    <w:rsid w:val="00BD0CF6"/>
    <w:rsid w:val="00BD2BB6"/>
    <w:rsid w:val="00BD63C8"/>
    <w:rsid w:val="00BE3E4F"/>
    <w:rsid w:val="00BF036D"/>
    <w:rsid w:val="00BF3B66"/>
    <w:rsid w:val="00C03745"/>
    <w:rsid w:val="00C03B00"/>
    <w:rsid w:val="00C06933"/>
    <w:rsid w:val="00C1251D"/>
    <w:rsid w:val="00C1397F"/>
    <w:rsid w:val="00C21535"/>
    <w:rsid w:val="00C236A9"/>
    <w:rsid w:val="00C25AA3"/>
    <w:rsid w:val="00C27067"/>
    <w:rsid w:val="00C2709B"/>
    <w:rsid w:val="00C32C9B"/>
    <w:rsid w:val="00C33EA4"/>
    <w:rsid w:val="00C35527"/>
    <w:rsid w:val="00C47237"/>
    <w:rsid w:val="00C47EA8"/>
    <w:rsid w:val="00C512B5"/>
    <w:rsid w:val="00C52CA4"/>
    <w:rsid w:val="00C55F28"/>
    <w:rsid w:val="00C57B00"/>
    <w:rsid w:val="00C611EB"/>
    <w:rsid w:val="00C64467"/>
    <w:rsid w:val="00C72AFA"/>
    <w:rsid w:val="00C87D94"/>
    <w:rsid w:val="00C90972"/>
    <w:rsid w:val="00C9402A"/>
    <w:rsid w:val="00C973EF"/>
    <w:rsid w:val="00CA1828"/>
    <w:rsid w:val="00CA5632"/>
    <w:rsid w:val="00CA7FD1"/>
    <w:rsid w:val="00CC456C"/>
    <w:rsid w:val="00CC7C43"/>
    <w:rsid w:val="00CD113C"/>
    <w:rsid w:val="00CD4530"/>
    <w:rsid w:val="00CD79B3"/>
    <w:rsid w:val="00CE36C7"/>
    <w:rsid w:val="00CF3B42"/>
    <w:rsid w:val="00D01DEC"/>
    <w:rsid w:val="00D03042"/>
    <w:rsid w:val="00D0337A"/>
    <w:rsid w:val="00D035E0"/>
    <w:rsid w:val="00D06843"/>
    <w:rsid w:val="00D1154A"/>
    <w:rsid w:val="00D1770A"/>
    <w:rsid w:val="00D2160E"/>
    <w:rsid w:val="00D24780"/>
    <w:rsid w:val="00D339D5"/>
    <w:rsid w:val="00D3710F"/>
    <w:rsid w:val="00D37638"/>
    <w:rsid w:val="00D44E7C"/>
    <w:rsid w:val="00D45BEE"/>
    <w:rsid w:val="00D57A47"/>
    <w:rsid w:val="00D57CBB"/>
    <w:rsid w:val="00D60585"/>
    <w:rsid w:val="00D668D8"/>
    <w:rsid w:val="00D6735D"/>
    <w:rsid w:val="00D747DD"/>
    <w:rsid w:val="00D747E4"/>
    <w:rsid w:val="00D77652"/>
    <w:rsid w:val="00D8176A"/>
    <w:rsid w:val="00D83396"/>
    <w:rsid w:val="00DA1E68"/>
    <w:rsid w:val="00DA52BA"/>
    <w:rsid w:val="00DA71D3"/>
    <w:rsid w:val="00DC07D3"/>
    <w:rsid w:val="00DC646B"/>
    <w:rsid w:val="00DC75A7"/>
    <w:rsid w:val="00DD0A3A"/>
    <w:rsid w:val="00DD16CE"/>
    <w:rsid w:val="00DD2977"/>
    <w:rsid w:val="00DD5E74"/>
    <w:rsid w:val="00DD5F0D"/>
    <w:rsid w:val="00DD7F72"/>
    <w:rsid w:val="00DE35E4"/>
    <w:rsid w:val="00DE3648"/>
    <w:rsid w:val="00DE710C"/>
    <w:rsid w:val="00E01132"/>
    <w:rsid w:val="00E037B9"/>
    <w:rsid w:val="00E130C8"/>
    <w:rsid w:val="00E17E2F"/>
    <w:rsid w:val="00E2432A"/>
    <w:rsid w:val="00E2446D"/>
    <w:rsid w:val="00E25812"/>
    <w:rsid w:val="00E37C9D"/>
    <w:rsid w:val="00E5057C"/>
    <w:rsid w:val="00E55BEA"/>
    <w:rsid w:val="00E810DF"/>
    <w:rsid w:val="00E82838"/>
    <w:rsid w:val="00E86CFA"/>
    <w:rsid w:val="00E9397C"/>
    <w:rsid w:val="00E94FC7"/>
    <w:rsid w:val="00EA38B7"/>
    <w:rsid w:val="00EA48D3"/>
    <w:rsid w:val="00EA757B"/>
    <w:rsid w:val="00EC0EDA"/>
    <w:rsid w:val="00EC33B6"/>
    <w:rsid w:val="00EC4A68"/>
    <w:rsid w:val="00EC4B88"/>
    <w:rsid w:val="00ED1E57"/>
    <w:rsid w:val="00ED2D21"/>
    <w:rsid w:val="00EE6C3F"/>
    <w:rsid w:val="00EF0FAE"/>
    <w:rsid w:val="00F12640"/>
    <w:rsid w:val="00F1470F"/>
    <w:rsid w:val="00F147D5"/>
    <w:rsid w:val="00F16D11"/>
    <w:rsid w:val="00F20AC8"/>
    <w:rsid w:val="00F22C8E"/>
    <w:rsid w:val="00F367F0"/>
    <w:rsid w:val="00F37416"/>
    <w:rsid w:val="00F418D6"/>
    <w:rsid w:val="00F47D1A"/>
    <w:rsid w:val="00F52828"/>
    <w:rsid w:val="00F52EFA"/>
    <w:rsid w:val="00F55B68"/>
    <w:rsid w:val="00F64A56"/>
    <w:rsid w:val="00F67D48"/>
    <w:rsid w:val="00F71470"/>
    <w:rsid w:val="00F731D6"/>
    <w:rsid w:val="00F7503A"/>
    <w:rsid w:val="00F768C3"/>
    <w:rsid w:val="00F90AC9"/>
    <w:rsid w:val="00F937E1"/>
    <w:rsid w:val="00FA4DB7"/>
    <w:rsid w:val="00FA6A8D"/>
    <w:rsid w:val="00FB3EF3"/>
    <w:rsid w:val="00FB676B"/>
    <w:rsid w:val="00FC0814"/>
    <w:rsid w:val="00FC20E7"/>
    <w:rsid w:val="00FC43E6"/>
    <w:rsid w:val="00FC474D"/>
    <w:rsid w:val="00FC59A3"/>
    <w:rsid w:val="00FE2FB7"/>
    <w:rsid w:val="00FE48FB"/>
    <w:rsid w:val="00FE7BC1"/>
    <w:rsid w:val="00FF4505"/>
    <w:rsid w:val="00FF6863"/>
    <w:rsid w:val="00FF6CEF"/>
    <w:rsid w:val="00FF6F79"/>
    <w:rsid w:val="01684287"/>
    <w:rsid w:val="0265284E"/>
    <w:rsid w:val="06A236C5"/>
    <w:rsid w:val="06BD0BF9"/>
    <w:rsid w:val="06D0774E"/>
    <w:rsid w:val="07577BF8"/>
    <w:rsid w:val="07F91BCB"/>
    <w:rsid w:val="0AC12575"/>
    <w:rsid w:val="0B2A413E"/>
    <w:rsid w:val="0BEC1066"/>
    <w:rsid w:val="0DA10B28"/>
    <w:rsid w:val="0EA57268"/>
    <w:rsid w:val="0FD3288A"/>
    <w:rsid w:val="0FF7358F"/>
    <w:rsid w:val="14551DEC"/>
    <w:rsid w:val="14EF50E7"/>
    <w:rsid w:val="18711397"/>
    <w:rsid w:val="1E7B07F4"/>
    <w:rsid w:val="1FA12422"/>
    <w:rsid w:val="21433AD8"/>
    <w:rsid w:val="243D6323"/>
    <w:rsid w:val="272A045A"/>
    <w:rsid w:val="2D7B281A"/>
    <w:rsid w:val="308D2A07"/>
    <w:rsid w:val="32836111"/>
    <w:rsid w:val="32B81715"/>
    <w:rsid w:val="33977A57"/>
    <w:rsid w:val="36ED3AE2"/>
    <w:rsid w:val="3A8358B6"/>
    <w:rsid w:val="3CD250B4"/>
    <w:rsid w:val="41574F0C"/>
    <w:rsid w:val="41E42977"/>
    <w:rsid w:val="42D72FE8"/>
    <w:rsid w:val="4360429E"/>
    <w:rsid w:val="43AD1D1D"/>
    <w:rsid w:val="47A87029"/>
    <w:rsid w:val="488659F2"/>
    <w:rsid w:val="4C740C02"/>
    <w:rsid w:val="4E577B5E"/>
    <w:rsid w:val="4FF61384"/>
    <w:rsid w:val="50207454"/>
    <w:rsid w:val="503D29D3"/>
    <w:rsid w:val="52AB33FB"/>
    <w:rsid w:val="52BE3E6A"/>
    <w:rsid w:val="52F348FB"/>
    <w:rsid w:val="58403824"/>
    <w:rsid w:val="5A937313"/>
    <w:rsid w:val="5B3A2752"/>
    <w:rsid w:val="5E4A7F98"/>
    <w:rsid w:val="5ED22030"/>
    <w:rsid w:val="63E4285F"/>
    <w:rsid w:val="6651548A"/>
    <w:rsid w:val="6A921DCF"/>
    <w:rsid w:val="6C675002"/>
    <w:rsid w:val="6C7A7823"/>
    <w:rsid w:val="6CDE173E"/>
    <w:rsid w:val="6D337770"/>
    <w:rsid w:val="6E7117FE"/>
    <w:rsid w:val="6FEF19A4"/>
    <w:rsid w:val="70B95AAB"/>
    <w:rsid w:val="72BC471C"/>
    <w:rsid w:val="741D103A"/>
    <w:rsid w:val="74C43BC8"/>
    <w:rsid w:val="76CB2E4A"/>
    <w:rsid w:val="7717217F"/>
    <w:rsid w:val="7827308E"/>
    <w:rsid w:val="7A5D3C2F"/>
    <w:rsid w:val="7F4C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pPr>
      <w:spacing w:after="120"/>
    </w:pPr>
  </w:style>
  <w:style w:type="paragraph" w:styleId="4">
    <w:name w:val="Date"/>
    <w:basedOn w:val="1"/>
    <w:next w:val="1"/>
    <w:link w:val="20"/>
    <w:qFormat/>
    <w:uiPriority w:val="0"/>
    <w:pPr>
      <w:ind w:left="100" w:leftChars="2500"/>
    </w:p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"/>
    <w:basedOn w:val="3"/>
    <w:link w:val="17"/>
    <w:qFormat/>
    <w:uiPriority w:val="0"/>
    <w:pPr>
      <w:ind w:firstLine="420" w:firstLineChars="100"/>
    </w:pPr>
    <w:rPr>
      <w:rFonts w:ascii="Times New Roman" w:hAnsi="Times New Roman"/>
      <w:szCs w:val="22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character" w:customStyle="1" w:styleId="13">
    <w:name w:val="未处理的提及1"/>
    <w:basedOn w:val="10"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页脚 字符"/>
    <w:basedOn w:val="10"/>
    <w:link w:val="5"/>
    <w:qFormat/>
    <w:uiPriority w:val="99"/>
    <w:rPr>
      <w:kern w:val="2"/>
      <w:sz w:val="18"/>
      <w:szCs w:val="24"/>
    </w:rPr>
  </w:style>
  <w:style w:type="character" w:customStyle="1" w:styleId="15">
    <w:name w:val="标题 3 字符"/>
    <w:basedOn w:val="10"/>
    <w:link w:val="2"/>
    <w:semiHidden/>
    <w:qFormat/>
    <w:uiPriority w:val="0"/>
    <w:rPr>
      <w:b/>
      <w:bCs/>
      <w:kern w:val="2"/>
      <w:sz w:val="32"/>
      <w:szCs w:val="32"/>
    </w:rPr>
  </w:style>
  <w:style w:type="character" w:customStyle="1" w:styleId="16">
    <w:name w:val="正文文本 字符"/>
    <w:basedOn w:val="10"/>
    <w:link w:val="3"/>
    <w:qFormat/>
    <w:uiPriority w:val="0"/>
    <w:rPr>
      <w:kern w:val="2"/>
      <w:sz w:val="21"/>
      <w:szCs w:val="24"/>
    </w:rPr>
  </w:style>
  <w:style w:type="character" w:customStyle="1" w:styleId="17">
    <w:name w:val="正文文本首行缩进 字符"/>
    <w:basedOn w:val="16"/>
    <w:link w:val="7"/>
    <w:qFormat/>
    <w:uiPriority w:val="0"/>
    <w:rPr>
      <w:rFonts w:ascii="Times New Roman" w:hAnsi="Times New Roman"/>
      <w:kern w:val="2"/>
      <w:sz w:val="21"/>
      <w:szCs w:val="22"/>
    </w:rPr>
  </w:style>
  <w:style w:type="paragraph" w:customStyle="1" w:styleId="18">
    <w:name w:val="列表段落2"/>
    <w:basedOn w:val="1"/>
    <w:qFormat/>
    <w:uiPriority w:val="99"/>
    <w:pPr>
      <w:ind w:firstLine="420" w:firstLineChars="200"/>
    </w:pPr>
  </w:style>
  <w:style w:type="paragraph" w:customStyle="1" w:styleId="19">
    <w:name w:val="列表段落3"/>
    <w:basedOn w:val="1"/>
    <w:uiPriority w:val="99"/>
    <w:pPr>
      <w:ind w:firstLine="420" w:firstLineChars="200"/>
    </w:pPr>
  </w:style>
  <w:style w:type="character" w:customStyle="1" w:styleId="20">
    <w:name w:val="日期 字符"/>
    <w:basedOn w:val="10"/>
    <w:link w:val="4"/>
    <w:qFormat/>
    <w:uiPriority w:val="0"/>
    <w:rPr>
      <w:kern w:val="2"/>
      <w:sz w:val="21"/>
      <w:szCs w:val="24"/>
    </w:rPr>
  </w:style>
  <w:style w:type="paragraph" w:customStyle="1" w:styleId="21">
    <w:name w:val="标准文件_一级条标题"/>
    <w:basedOn w:val="1"/>
    <w:next w:val="1"/>
    <w:qFormat/>
    <w:uiPriority w:val="0"/>
    <w:pPr>
      <w:widowControl/>
      <w:numPr>
        <w:ilvl w:val="1"/>
        <w:numId w:val="1"/>
      </w:numPr>
      <w:spacing w:before="50" w:beforeLines="50" w:after="50" w:afterLines="50"/>
      <w:outlineLvl w:val="1"/>
    </w:pPr>
    <w:rPr>
      <w:rFonts w:ascii="黑体" w:hAnsi="Times New Roman" w:eastAsia="黑体" w:cs="Times New Roman"/>
      <w:kern w:val="0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20139-35D2-4442-B355-A2194F452F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18</Pages>
  <Words>6631</Words>
  <Characters>7403</Characters>
  <Lines>56</Lines>
  <Paragraphs>16</Paragraphs>
  <TotalTime>1267</TotalTime>
  <ScaleCrop>false</ScaleCrop>
  <LinksUpToDate>false</LinksUpToDate>
  <CharactersWithSpaces>7408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2021-11-16T03:33:00Z</dcterms:created>
  <dc:creator>user</dc:creator>
  <cp:lastModifiedBy>文</cp:lastModifiedBy>
  <cp:lastPrinted>2022-11-22T07:57:00Z</cp:lastPrinted>
  <dcterms:modified xsi:type="dcterms:W3CDTF">2022-11-22T08:25:25Z</dcterms:modified>
  <cp:revision>193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88356CD0349841C89A9716C2C217C8D0</vt:lpwstr>
  </property>
</Properties>
</file>